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B6" w:rsidRPr="000171F7" w:rsidRDefault="00854E7D" w:rsidP="000171F7">
      <w:pPr>
        <w:widowControl/>
        <w:spacing w:before="100" w:beforeAutospacing="1" w:after="100" w:afterAutospacing="1"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0171F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國立臺灣藝術大學</w:t>
      </w:r>
      <w:r w:rsidR="000171F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</w:t>
      </w:r>
      <w:r w:rsidR="002B02B6" w:rsidRPr="000171F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藝術</w:t>
      </w:r>
      <w:r w:rsidR="00742590" w:rsidRPr="000171F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管理</w:t>
      </w:r>
      <w:r w:rsidR="002B02B6" w:rsidRPr="000171F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與文化政策研究所</w:t>
      </w:r>
    </w:p>
    <w:p w:rsidR="00854E7D" w:rsidRPr="000171F7" w:rsidRDefault="00854E7D" w:rsidP="00F4475E">
      <w:pPr>
        <w:widowControl/>
        <w:tabs>
          <w:tab w:val="left" w:pos="6480"/>
        </w:tabs>
        <w:spacing w:before="100" w:beforeAutospacing="1" w:after="100" w:afterAutospacing="1" w:line="400" w:lineRule="exact"/>
        <w:ind w:left="855" w:hanging="855"/>
        <w:jc w:val="center"/>
        <w:rPr>
          <w:rFonts w:ascii="新細明體" w:hAnsi="新細明體" w:cs="新細明體"/>
          <w:kern w:val="0"/>
          <w:sz w:val="32"/>
          <w:szCs w:val="32"/>
        </w:rPr>
      </w:pPr>
      <w:r w:rsidRPr="000171F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課程委員會設置</w:t>
      </w:r>
      <w:r w:rsidR="00961F11" w:rsidRPr="000171F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要點</w:t>
      </w:r>
    </w:p>
    <w:p w:rsidR="00A9360C" w:rsidRPr="00F05969" w:rsidRDefault="00A9360C" w:rsidP="00F05969">
      <w:pPr>
        <w:jc w:val="right"/>
        <w:rPr>
          <w:rFonts w:eastAsia="標楷體"/>
          <w:sz w:val="16"/>
        </w:rPr>
      </w:pPr>
      <w:r>
        <w:rPr>
          <w:rFonts w:hint="eastAsia"/>
          <w:kern w:val="0"/>
          <w:sz w:val="18"/>
          <w:szCs w:val="18"/>
        </w:rPr>
        <w:t xml:space="preserve">                                                                                          </w:t>
      </w:r>
      <w:r w:rsidRPr="00A9360C">
        <w:rPr>
          <w:rFonts w:hint="eastAsia"/>
          <w:kern w:val="0"/>
          <w:sz w:val="22"/>
          <w:szCs w:val="22"/>
        </w:rPr>
        <w:t xml:space="preserve"> </w:t>
      </w:r>
    </w:p>
    <w:p w:rsidR="00B16DB5" w:rsidRDefault="00A9360C" w:rsidP="00F05969">
      <w:pPr>
        <w:jc w:val="right"/>
        <w:rPr>
          <w:rFonts w:eastAsia="標楷體"/>
          <w:sz w:val="16"/>
        </w:rPr>
      </w:pPr>
      <w:r w:rsidRPr="00F05969">
        <w:rPr>
          <w:rFonts w:eastAsia="標楷體" w:hint="eastAsia"/>
          <w:sz w:val="16"/>
        </w:rPr>
        <w:t xml:space="preserve">                                                      </w:t>
      </w:r>
      <w:r w:rsidR="00B14C8E" w:rsidRPr="00F05969">
        <w:rPr>
          <w:rFonts w:eastAsia="標楷體" w:hint="eastAsia"/>
          <w:sz w:val="16"/>
        </w:rPr>
        <w:t>100.10.</w:t>
      </w:r>
      <w:r w:rsidR="006F2416">
        <w:rPr>
          <w:rFonts w:eastAsia="標楷體" w:hint="eastAsia"/>
          <w:sz w:val="16"/>
        </w:rPr>
        <w:t>0</w:t>
      </w:r>
      <w:r w:rsidR="00B14C8E" w:rsidRPr="00F05969">
        <w:rPr>
          <w:rFonts w:eastAsia="標楷體" w:hint="eastAsia"/>
          <w:sz w:val="16"/>
        </w:rPr>
        <w:t>4</w:t>
      </w:r>
      <w:r w:rsidRPr="00F05969">
        <w:rPr>
          <w:rFonts w:eastAsia="標楷體" w:hint="eastAsia"/>
          <w:sz w:val="16"/>
        </w:rPr>
        <w:t>經</w:t>
      </w:r>
      <w:r w:rsidRPr="00F05969">
        <w:rPr>
          <w:rFonts w:eastAsia="標楷體" w:hint="eastAsia"/>
          <w:sz w:val="16"/>
        </w:rPr>
        <w:t>100</w:t>
      </w:r>
      <w:r w:rsidRPr="00F05969">
        <w:rPr>
          <w:rFonts w:eastAsia="標楷體" w:hint="eastAsia"/>
          <w:sz w:val="16"/>
        </w:rPr>
        <w:t>學年度第</w:t>
      </w:r>
      <w:r w:rsidRPr="00F05969">
        <w:rPr>
          <w:rFonts w:eastAsia="標楷體" w:hint="eastAsia"/>
          <w:sz w:val="16"/>
        </w:rPr>
        <w:t>2</w:t>
      </w:r>
      <w:r w:rsidRPr="00F05969">
        <w:rPr>
          <w:rFonts w:eastAsia="標楷體" w:hint="eastAsia"/>
          <w:sz w:val="16"/>
        </w:rPr>
        <w:t>次所務會議通過</w:t>
      </w:r>
    </w:p>
    <w:p w:rsidR="00854E7D" w:rsidRDefault="00B16DB5" w:rsidP="00F05969">
      <w:pPr>
        <w:jc w:val="right"/>
        <w:rPr>
          <w:rFonts w:eastAsia="標楷體"/>
          <w:sz w:val="16"/>
        </w:rPr>
      </w:pPr>
      <w:r>
        <w:rPr>
          <w:rFonts w:eastAsia="標楷體" w:hint="eastAsia"/>
          <w:sz w:val="16"/>
        </w:rPr>
        <w:t>101</w:t>
      </w:r>
      <w:r w:rsidR="006F2416">
        <w:rPr>
          <w:rFonts w:eastAsia="標楷體" w:hint="eastAsia"/>
          <w:sz w:val="16"/>
        </w:rPr>
        <w:t>0</w:t>
      </w:r>
      <w:r>
        <w:rPr>
          <w:rFonts w:eastAsia="標楷體" w:hint="eastAsia"/>
          <w:sz w:val="16"/>
        </w:rPr>
        <w:t>.5.</w:t>
      </w:r>
      <w:r w:rsidR="006F2416">
        <w:rPr>
          <w:rFonts w:eastAsia="標楷體" w:hint="eastAsia"/>
          <w:sz w:val="16"/>
        </w:rPr>
        <w:t>0</w:t>
      </w:r>
      <w:r>
        <w:rPr>
          <w:rFonts w:eastAsia="標楷體" w:hint="eastAsia"/>
          <w:sz w:val="16"/>
        </w:rPr>
        <w:t>1</w:t>
      </w:r>
      <w:r>
        <w:rPr>
          <w:rFonts w:eastAsia="標楷體" w:hint="eastAsia"/>
          <w:sz w:val="16"/>
        </w:rPr>
        <w:t>經</w:t>
      </w:r>
      <w:r>
        <w:rPr>
          <w:rFonts w:eastAsia="標楷體" w:hint="eastAsia"/>
          <w:sz w:val="16"/>
        </w:rPr>
        <w:t>100</w:t>
      </w:r>
      <w:r>
        <w:rPr>
          <w:rFonts w:eastAsia="標楷體" w:hint="eastAsia"/>
          <w:sz w:val="16"/>
        </w:rPr>
        <w:t>學年度第</w:t>
      </w:r>
      <w:r>
        <w:rPr>
          <w:rFonts w:eastAsia="標楷體" w:hint="eastAsia"/>
          <w:sz w:val="16"/>
        </w:rPr>
        <w:t>5</w:t>
      </w:r>
      <w:r>
        <w:rPr>
          <w:rFonts w:eastAsia="標楷體" w:hint="eastAsia"/>
          <w:sz w:val="16"/>
        </w:rPr>
        <w:t>次所務會議通過</w:t>
      </w:r>
    </w:p>
    <w:p w:rsidR="006F2416" w:rsidRDefault="006F2416" w:rsidP="00F05969">
      <w:pPr>
        <w:jc w:val="right"/>
        <w:rPr>
          <w:rFonts w:eastAsia="標楷體"/>
          <w:sz w:val="16"/>
        </w:rPr>
      </w:pPr>
      <w:r>
        <w:rPr>
          <w:rFonts w:eastAsia="標楷體" w:hint="eastAsia"/>
          <w:sz w:val="16"/>
        </w:rPr>
        <w:t>107.01.0</w:t>
      </w:r>
      <w:r w:rsidR="008E3A06">
        <w:rPr>
          <w:rFonts w:eastAsia="標楷體" w:hint="eastAsia"/>
          <w:sz w:val="16"/>
        </w:rPr>
        <w:t>9</w:t>
      </w:r>
      <w:bookmarkStart w:id="0" w:name="_GoBack"/>
      <w:bookmarkEnd w:id="0"/>
      <w:r>
        <w:rPr>
          <w:rFonts w:eastAsia="標楷體" w:hint="eastAsia"/>
          <w:sz w:val="16"/>
        </w:rPr>
        <w:t>經</w:t>
      </w:r>
      <w:r>
        <w:rPr>
          <w:rFonts w:eastAsia="標楷體" w:hint="eastAsia"/>
          <w:sz w:val="16"/>
        </w:rPr>
        <w:t>107</w:t>
      </w:r>
      <w:r>
        <w:rPr>
          <w:rFonts w:eastAsia="標楷體" w:hint="eastAsia"/>
          <w:sz w:val="16"/>
        </w:rPr>
        <w:t>學年度第</w:t>
      </w:r>
      <w:r>
        <w:rPr>
          <w:rFonts w:eastAsia="標楷體" w:hint="eastAsia"/>
          <w:sz w:val="16"/>
        </w:rPr>
        <w:t>3</w:t>
      </w:r>
      <w:r>
        <w:rPr>
          <w:rFonts w:eastAsia="標楷體" w:hint="eastAsia"/>
          <w:sz w:val="16"/>
        </w:rPr>
        <w:t>次所務會議通過</w:t>
      </w:r>
    </w:p>
    <w:p w:rsidR="00B16D54" w:rsidRPr="00B16D54" w:rsidRDefault="00B16D54" w:rsidP="00B16D54">
      <w:pPr>
        <w:widowControl/>
        <w:jc w:val="right"/>
        <w:rPr>
          <w:rFonts w:eastAsia="標楷體"/>
          <w:sz w:val="16"/>
        </w:rPr>
      </w:pPr>
      <w:r w:rsidRPr="00B16D54">
        <w:rPr>
          <w:rFonts w:eastAsia="標楷體" w:hint="eastAsia"/>
          <w:sz w:val="16"/>
        </w:rPr>
        <w:t>108.1.10  107</w:t>
      </w:r>
      <w:r w:rsidRPr="00B16D54">
        <w:rPr>
          <w:rFonts w:eastAsia="標楷體" w:hint="eastAsia"/>
          <w:sz w:val="16"/>
        </w:rPr>
        <w:t>學年度第</w:t>
      </w:r>
      <w:r w:rsidRPr="00B16D54">
        <w:rPr>
          <w:rFonts w:eastAsia="標楷體" w:hint="eastAsia"/>
          <w:sz w:val="16"/>
        </w:rPr>
        <w:t>2</w:t>
      </w:r>
      <w:r w:rsidRPr="00B16D54">
        <w:rPr>
          <w:rFonts w:eastAsia="標楷體" w:hint="eastAsia"/>
          <w:sz w:val="16"/>
        </w:rPr>
        <w:t>次人文學院擴大院務會議修訂通過第八點</w:t>
      </w:r>
    </w:p>
    <w:p w:rsidR="00B16D54" w:rsidRPr="00B16D54" w:rsidRDefault="00B16D54" w:rsidP="00F05969">
      <w:pPr>
        <w:jc w:val="right"/>
        <w:rPr>
          <w:kern w:val="0"/>
          <w:sz w:val="18"/>
          <w:szCs w:val="18"/>
        </w:rPr>
      </w:pPr>
    </w:p>
    <w:p w:rsidR="00854E7D" w:rsidRPr="000473E2" w:rsidRDefault="00961F11" w:rsidP="001360A9">
      <w:pPr>
        <w:widowControl/>
        <w:tabs>
          <w:tab w:val="left" w:pos="284"/>
          <w:tab w:val="left" w:pos="426"/>
          <w:tab w:val="left" w:pos="851"/>
        </w:tabs>
        <w:spacing w:beforeLines="50" w:before="180" w:afterLines="50" w:after="180" w:line="280" w:lineRule="exact"/>
        <w:ind w:leftChars="1" w:left="565" w:hangingChars="201" w:hanging="56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1360A9" w:rsidRPr="001360A9">
        <w:rPr>
          <w:rFonts w:ascii="標楷體" w:eastAsia="標楷體" w:hAnsi="標楷體" w:cs="新細明體" w:hint="eastAsia"/>
          <w:color w:val="000000"/>
          <w:kern w:val="0"/>
        </w:rPr>
        <w:t>國立臺灣藝術大學藝術管理與文化政策研究所</w:t>
      </w:r>
      <w:r w:rsidR="001360A9" w:rsidRPr="000473E2">
        <w:rPr>
          <w:rFonts w:ascii="標楷體" w:eastAsia="標楷體" w:hAnsi="標楷體" w:cs="新細明體" w:hint="eastAsia"/>
          <w:color w:val="000000"/>
          <w:kern w:val="0"/>
        </w:rPr>
        <w:t>（以下簡稱本所）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為推動</w:t>
      </w:r>
      <w:r w:rsidR="00F51737" w:rsidRPr="000473E2">
        <w:rPr>
          <w:rFonts w:ascii="標楷體" w:eastAsia="標楷體" w:hAnsi="標楷體" w:cs="新細明體" w:hint="eastAsia"/>
          <w:color w:val="000000"/>
          <w:kern w:val="0"/>
        </w:rPr>
        <w:t>課程規劃與發展，</w:t>
      </w:r>
      <w:r w:rsidR="001360A9" w:rsidRPr="000473E2">
        <w:rPr>
          <w:rFonts w:ascii="標楷體" w:eastAsia="標楷體" w:hAnsi="標楷體" w:cs="新細明體" w:hint="eastAsia"/>
          <w:color w:val="000000"/>
          <w:kern w:val="0"/>
        </w:rPr>
        <w:t>依「國立臺灣藝術大學課程委員會設置辦法」</w:t>
      </w:r>
      <w:r w:rsidR="001360A9">
        <w:rPr>
          <w:rFonts w:ascii="標楷體" w:eastAsia="標楷體" w:hAnsi="標楷體" w:cs="新細明體" w:hint="eastAsia"/>
          <w:color w:val="000000"/>
          <w:kern w:val="0"/>
        </w:rPr>
        <w:t>設置</w:t>
      </w:r>
      <w:r w:rsidR="00A7379E">
        <w:rPr>
          <w:rFonts w:ascii="標楷體" w:eastAsia="標楷體" w:hAnsi="標楷體" w:cs="新細明體" w:hint="eastAsia"/>
          <w:color w:val="000000"/>
          <w:kern w:val="0"/>
        </w:rPr>
        <w:t>本</w:t>
      </w:r>
      <w:r w:rsidR="001360A9" w:rsidRPr="001360A9">
        <w:rPr>
          <w:rFonts w:ascii="標楷體" w:eastAsia="標楷體" w:hAnsi="標楷體" w:cs="新細明體" w:hint="eastAsia"/>
          <w:color w:val="000000"/>
          <w:kern w:val="0"/>
        </w:rPr>
        <w:t>所課程委員會</w:t>
      </w:r>
      <w:r w:rsidR="001360A9">
        <w:rPr>
          <w:rFonts w:ascii="標楷體" w:eastAsia="標楷體" w:hAnsi="標楷體" w:cs="新細明體" w:hint="eastAsia"/>
          <w:color w:val="000000"/>
          <w:kern w:val="0"/>
        </w:rPr>
        <w:t>」</w:t>
      </w:r>
      <w:r w:rsidR="00F51737" w:rsidRPr="000473E2">
        <w:rPr>
          <w:rFonts w:ascii="標楷體" w:eastAsia="標楷體" w:hAnsi="標楷體" w:cs="新細明體" w:hint="eastAsia"/>
          <w:color w:val="000000"/>
          <w:kern w:val="0"/>
        </w:rPr>
        <w:t>（以下簡稱本委員會）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854E7D" w:rsidRPr="000473E2" w:rsidRDefault="00854E7D" w:rsidP="002B21DB">
      <w:pPr>
        <w:widowControl/>
        <w:tabs>
          <w:tab w:val="left" w:pos="567"/>
        </w:tabs>
        <w:spacing w:beforeLines="50" w:before="180" w:afterLines="50" w:after="180" w:line="280" w:lineRule="exact"/>
        <w:ind w:left="607" w:hangingChars="253" w:hanging="607"/>
        <w:rPr>
          <w:rFonts w:ascii="新細明體" w:hAnsi="新細明體" w:cs="新細明體"/>
          <w:kern w:val="0"/>
        </w:rPr>
      </w:pPr>
      <w:r w:rsidRPr="000473E2">
        <w:rPr>
          <w:rFonts w:ascii="標楷體" w:eastAsia="標楷體" w:hAnsi="標楷體" w:cs="新細明體" w:hint="eastAsia"/>
          <w:color w:val="000000"/>
          <w:kern w:val="0"/>
        </w:rPr>
        <w:t>二</w:t>
      </w:r>
      <w:r w:rsidR="00961F11" w:rsidRPr="000473E2">
        <w:rPr>
          <w:rFonts w:ascii="標楷體" w:eastAsia="標楷體" w:hAnsi="標楷體" w:cs="新細明體" w:hint="eastAsia"/>
          <w:color w:val="000000"/>
          <w:kern w:val="0"/>
        </w:rPr>
        <w:t xml:space="preserve">、 </w:t>
      </w:r>
      <w:r w:rsidRPr="000473E2">
        <w:rPr>
          <w:rFonts w:ascii="標楷體" w:eastAsia="標楷體" w:hAnsi="標楷體" w:cs="新細明體" w:hint="eastAsia"/>
          <w:color w:val="000000"/>
          <w:kern w:val="0"/>
        </w:rPr>
        <w:t>本委員會之職掌如下：</w:t>
      </w:r>
    </w:p>
    <w:p w:rsidR="00961F11" w:rsidRPr="000473E2" w:rsidRDefault="00961F11" w:rsidP="002B21DB">
      <w:pPr>
        <w:widowControl/>
        <w:tabs>
          <w:tab w:val="left" w:pos="567"/>
        </w:tabs>
        <w:spacing w:beforeLines="50" w:before="180" w:afterLines="50" w:after="180" w:line="280" w:lineRule="exact"/>
        <w:ind w:leftChars="236" w:left="604" w:hangingChars="16" w:hanging="38"/>
        <w:rPr>
          <w:rFonts w:ascii="新細明體" w:hAnsi="新細明體" w:cs="新細明體"/>
          <w:kern w:val="0"/>
        </w:rPr>
      </w:pPr>
      <w:r w:rsidRPr="000473E2">
        <w:rPr>
          <w:rFonts w:ascii="標楷體" w:eastAsia="標楷體" w:hAnsi="標楷體" w:cs="新細明體" w:hint="eastAsia"/>
          <w:color w:val="000000"/>
          <w:kern w:val="0"/>
        </w:rPr>
        <w:t>（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一</w:t>
      </w:r>
      <w:r w:rsidRPr="000473E2">
        <w:rPr>
          <w:rFonts w:ascii="標楷體" w:eastAsia="標楷體" w:hAnsi="標楷體" w:cs="新細明體" w:hint="eastAsia"/>
          <w:color w:val="000000"/>
          <w:kern w:val="0"/>
        </w:rPr>
        <w:t>）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規劃本</w:t>
      </w:r>
      <w:r w:rsidR="002B02B6" w:rsidRPr="000473E2">
        <w:rPr>
          <w:rFonts w:ascii="標楷體" w:eastAsia="標楷體" w:hAnsi="標楷體" w:cs="新細明體" w:hint="eastAsia"/>
          <w:color w:val="000000"/>
          <w:kern w:val="0"/>
        </w:rPr>
        <w:t>所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課程發展之方向，並擬</w:t>
      </w:r>
      <w:r w:rsidR="008A7FFC" w:rsidRPr="000473E2">
        <w:rPr>
          <w:rFonts w:ascii="標楷體" w:eastAsia="標楷體" w:hAnsi="標楷體" w:cs="新細明體" w:hint="eastAsia"/>
          <w:color w:val="000000"/>
          <w:kern w:val="0"/>
        </w:rPr>
        <w:t>定全</w:t>
      </w:r>
      <w:r w:rsidR="002B02B6" w:rsidRPr="000473E2">
        <w:rPr>
          <w:rFonts w:ascii="標楷體" w:eastAsia="標楷體" w:hAnsi="標楷體" w:cs="新細明體" w:hint="eastAsia"/>
          <w:color w:val="000000"/>
          <w:kern w:val="0"/>
        </w:rPr>
        <w:t>所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課程開設原則。</w:t>
      </w:r>
    </w:p>
    <w:p w:rsidR="00961F11" w:rsidRPr="000473E2" w:rsidRDefault="00961F11" w:rsidP="002B21DB">
      <w:pPr>
        <w:widowControl/>
        <w:tabs>
          <w:tab w:val="left" w:pos="567"/>
        </w:tabs>
        <w:spacing w:beforeLines="50" w:before="180" w:afterLines="50" w:after="180" w:line="280" w:lineRule="exact"/>
        <w:ind w:leftChars="236" w:left="604" w:hangingChars="16" w:hanging="38"/>
        <w:rPr>
          <w:rFonts w:ascii="標楷體" w:eastAsia="標楷體" w:hAnsi="標楷體" w:cs="新細明體"/>
          <w:color w:val="000000"/>
          <w:kern w:val="0"/>
        </w:rPr>
      </w:pPr>
      <w:r w:rsidRPr="000473E2">
        <w:rPr>
          <w:rFonts w:ascii="標楷體" w:eastAsia="標楷體" w:hAnsi="標楷體" w:cs="新細明體" w:hint="eastAsia"/>
          <w:kern w:val="0"/>
        </w:rPr>
        <w:t>（二）</w:t>
      </w:r>
      <w:r w:rsidR="008A7FFC" w:rsidRPr="000473E2">
        <w:rPr>
          <w:rFonts w:ascii="標楷體" w:eastAsia="標楷體" w:hAnsi="標楷體" w:cs="新細明體" w:hint="eastAsia"/>
          <w:color w:val="000000"/>
          <w:kern w:val="0"/>
        </w:rPr>
        <w:t>規劃本</w:t>
      </w:r>
      <w:r w:rsidR="002B02B6" w:rsidRPr="000473E2">
        <w:rPr>
          <w:rFonts w:ascii="標楷體" w:eastAsia="標楷體" w:hAnsi="標楷體" w:cs="新細明體" w:hint="eastAsia"/>
          <w:color w:val="000000"/>
          <w:kern w:val="0"/>
        </w:rPr>
        <w:t>所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訂必、選修科目之課程內容、授課方式。</w:t>
      </w:r>
    </w:p>
    <w:p w:rsidR="00961F11" w:rsidRPr="000473E2" w:rsidRDefault="00961F11" w:rsidP="002B21DB">
      <w:pPr>
        <w:widowControl/>
        <w:tabs>
          <w:tab w:val="left" w:pos="567"/>
        </w:tabs>
        <w:spacing w:beforeLines="50" w:before="180" w:afterLines="50" w:after="180" w:line="280" w:lineRule="exact"/>
        <w:ind w:leftChars="236" w:left="604" w:hangingChars="16" w:hanging="38"/>
        <w:rPr>
          <w:rFonts w:ascii="標楷體" w:eastAsia="標楷體" w:hAnsi="標楷體" w:cs="新細明體"/>
          <w:color w:val="000000"/>
          <w:kern w:val="0"/>
        </w:rPr>
      </w:pPr>
      <w:r w:rsidRPr="000473E2">
        <w:rPr>
          <w:rFonts w:ascii="標楷體" w:eastAsia="標楷體" w:hAnsi="標楷體" w:cs="新細明體" w:hint="eastAsia"/>
          <w:color w:val="000000"/>
          <w:kern w:val="0"/>
        </w:rPr>
        <w:t>（三）</w:t>
      </w:r>
      <w:r w:rsidR="008A7FFC" w:rsidRPr="000473E2">
        <w:rPr>
          <w:rFonts w:ascii="標楷體" w:eastAsia="標楷體" w:hAnsi="標楷體" w:cs="新細明體" w:hint="eastAsia"/>
          <w:color w:val="000000"/>
          <w:kern w:val="0"/>
        </w:rPr>
        <w:t>審議</w:t>
      </w:r>
      <w:r w:rsidR="002B02B6" w:rsidRPr="000473E2">
        <w:rPr>
          <w:rFonts w:ascii="標楷體" w:eastAsia="標楷體" w:hAnsi="標楷體" w:cs="新細明體" w:hint="eastAsia"/>
          <w:color w:val="000000"/>
          <w:kern w:val="0"/>
        </w:rPr>
        <w:t>本所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研議開設或修訂之必、選修科目事宜。</w:t>
      </w:r>
    </w:p>
    <w:p w:rsidR="00961F11" w:rsidRPr="000473E2" w:rsidRDefault="00961F11" w:rsidP="002B21DB">
      <w:pPr>
        <w:widowControl/>
        <w:tabs>
          <w:tab w:val="left" w:pos="567"/>
        </w:tabs>
        <w:spacing w:beforeLines="50" w:before="180" w:afterLines="50" w:after="180" w:line="280" w:lineRule="exact"/>
        <w:ind w:leftChars="236" w:left="604" w:hangingChars="16" w:hanging="38"/>
        <w:rPr>
          <w:rFonts w:ascii="標楷體" w:eastAsia="標楷體" w:hAnsi="標楷體" w:cs="新細明體"/>
          <w:color w:val="000000"/>
          <w:kern w:val="0"/>
        </w:rPr>
      </w:pPr>
      <w:r w:rsidRPr="000473E2">
        <w:rPr>
          <w:rFonts w:ascii="標楷體" w:eastAsia="標楷體" w:hAnsi="標楷體" w:cs="新細明體" w:hint="eastAsia"/>
          <w:color w:val="000000"/>
          <w:kern w:val="0"/>
        </w:rPr>
        <w:t>（四）</w:t>
      </w:r>
      <w:r w:rsidR="008A7FFC" w:rsidRPr="000473E2">
        <w:rPr>
          <w:rFonts w:ascii="標楷體" w:eastAsia="標楷體" w:hAnsi="標楷體" w:cs="新細明體" w:hint="eastAsia"/>
          <w:color w:val="000000"/>
          <w:kern w:val="0"/>
        </w:rPr>
        <w:t>協調及整合本</w:t>
      </w:r>
      <w:r w:rsidR="002B02B6" w:rsidRPr="000473E2">
        <w:rPr>
          <w:rFonts w:ascii="標楷體" w:eastAsia="標楷體" w:hAnsi="標楷體" w:cs="新細明體" w:hint="eastAsia"/>
          <w:color w:val="000000"/>
          <w:kern w:val="0"/>
        </w:rPr>
        <w:t>所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的開課資源及師資。</w:t>
      </w:r>
    </w:p>
    <w:p w:rsidR="00854E7D" w:rsidRPr="000473E2" w:rsidRDefault="00961F11" w:rsidP="002B21DB">
      <w:pPr>
        <w:widowControl/>
        <w:tabs>
          <w:tab w:val="left" w:pos="567"/>
        </w:tabs>
        <w:spacing w:beforeLines="50" w:before="180" w:afterLines="50" w:after="180" w:line="280" w:lineRule="exact"/>
        <w:ind w:leftChars="236" w:left="604" w:hangingChars="16" w:hanging="38"/>
        <w:rPr>
          <w:rFonts w:ascii="新細明體" w:hAnsi="新細明體" w:cs="新細明體"/>
          <w:kern w:val="0"/>
        </w:rPr>
      </w:pPr>
      <w:r w:rsidRPr="000473E2">
        <w:rPr>
          <w:rFonts w:ascii="標楷體" w:eastAsia="標楷體" w:hAnsi="標楷體" w:cs="新細明體" w:hint="eastAsia"/>
          <w:color w:val="000000"/>
          <w:kern w:val="0"/>
        </w:rPr>
        <w:t>（五）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審議其他與課程有關之事宜。</w:t>
      </w:r>
    </w:p>
    <w:p w:rsidR="002B02B6" w:rsidRDefault="00961F11" w:rsidP="002B21DB">
      <w:pPr>
        <w:widowControl/>
        <w:tabs>
          <w:tab w:val="left" w:pos="567"/>
        </w:tabs>
        <w:spacing w:beforeLines="50" w:before="180" w:afterLines="50" w:after="180" w:line="280" w:lineRule="exact"/>
        <w:ind w:left="607" w:hangingChars="253" w:hanging="607"/>
        <w:rPr>
          <w:rFonts w:ascii="標楷體" w:eastAsia="標楷體" w:hAnsi="標楷體" w:cs="新細明體"/>
          <w:color w:val="000000"/>
          <w:kern w:val="0"/>
        </w:rPr>
      </w:pPr>
      <w:r w:rsidRPr="000473E2">
        <w:rPr>
          <w:rFonts w:ascii="標楷體" w:eastAsia="標楷體" w:hAnsi="標楷體" w:cs="新細明體" w:hint="eastAsia"/>
          <w:color w:val="000000"/>
          <w:kern w:val="0"/>
        </w:rPr>
        <w:t xml:space="preserve">三、 </w:t>
      </w:r>
      <w:r w:rsidR="00460FDA" w:rsidRPr="000473E2">
        <w:rPr>
          <w:rFonts w:ascii="標楷體" w:eastAsia="標楷體" w:hAnsi="標楷體" w:cs="新細明體" w:hint="eastAsia"/>
          <w:color w:val="000000"/>
          <w:kern w:val="0"/>
        </w:rPr>
        <w:t>本委員會置委員</w:t>
      </w:r>
      <w:r w:rsidR="00DF45A3">
        <w:rPr>
          <w:rFonts w:ascii="標楷體" w:eastAsia="標楷體" w:hAnsi="標楷體" w:cs="新細明體" w:hint="eastAsia"/>
          <w:color w:val="000000"/>
          <w:kern w:val="0"/>
        </w:rPr>
        <w:t>四</w:t>
      </w:r>
      <w:r w:rsidR="00F12A30" w:rsidRPr="000473E2">
        <w:rPr>
          <w:rFonts w:ascii="標楷體" w:eastAsia="標楷體" w:hAnsi="標楷體" w:cs="新細明體" w:hint="eastAsia"/>
          <w:color w:val="000000"/>
          <w:kern w:val="0"/>
        </w:rPr>
        <w:t>至</w:t>
      </w:r>
      <w:r w:rsidR="00DF45A3">
        <w:rPr>
          <w:rFonts w:ascii="標楷體" w:eastAsia="標楷體" w:hAnsi="標楷體" w:cs="新細明體" w:hint="eastAsia"/>
          <w:color w:val="000000"/>
          <w:kern w:val="0"/>
        </w:rPr>
        <w:t>七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人，由</w:t>
      </w:r>
      <w:r w:rsidR="002B02B6" w:rsidRPr="000473E2">
        <w:rPr>
          <w:rFonts w:ascii="標楷體" w:eastAsia="標楷體" w:hAnsi="標楷體" w:cs="新細明體" w:hint="eastAsia"/>
          <w:color w:val="000000"/>
          <w:kern w:val="0"/>
        </w:rPr>
        <w:t>本所所長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為當然委員</w:t>
      </w:r>
      <w:r w:rsidR="002B02B6" w:rsidRPr="000473E2">
        <w:rPr>
          <w:rFonts w:ascii="標楷體" w:eastAsia="標楷體" w:hAnsi="標楷體" w:cs="新細明體" w:hint="eastAsia"/>
          <w:color w:val="000000"/>
          <w:kern w:val="0"/>
        </w:rPr>
        <w:t>兼召集人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2B02B6" w:rsidRPr="000473E2">
        <w:rPr>
          <w:rFonts w:ascii="標楷體" w:eastAsia="標楷體" w:hAnsi="標楷體" w:cs="新細明體" w:hint="eastAsia"/>
          <w:color w:val="000000"/>
          <w:kern w:val="0"/>
        </w:rPr>
        <w:t>本所專任教師為當然委員</w:t>
      </w:r>
      <w:r w:rsidR="00DF45A3">
        <w:rPr>
          <w:rFonts w:ascii="標楷體" w:eastAsia="標楷體" w:hAnsi="標楷體" w:cs="新細明體" w:hint="eastAsia"/>
          <w:color w:val="000000"/>
          <w:kern w:val="0"/>
        </w:rPr>
        <w:t>，校外專家學者1人，</w:t>
      </w:r>
      <w:r w:rsidR="00950100">
        <w:rPr>
          <w:rFonts w:ascii="標楷體" w:eastAsia="標楷體" w:hAnsi="標楷體" w:cs="新細明體" w:hint="eastAsia"/>
          <w:color w:val="000000"/>
          <w:kern w:val="0"/>
        </w:rPr>
        <w:t>學生代表1人</w:t>
      </w:r>
      <w:r w:rsidR="002B02B6" w:rsidRPr="000473E2">
        <w:rPr>
          <w:rFonts w:ascii="標楷體" w:eastAsia="標楷體" w:hAnsi="標楷體" w:cs="新細明體" w:hint="eastAsia"/>
          <w:color w:val="000000"/>
          <w:kern w:val="0"/>
        </w:rPr>
        <w:t>。</w:t>
      </w:r>
      <w:r w:rsidR="00DF45A3">
        <w:rPr>
          <w:rFonts w:ascii="標楷體" w:eastAsia="標楷體" w:hAnsi="標楷體" w:cs="新細明體" w:hint="eastAsia"/>
          <w:color w:val="000000"/>
          <w:kern w:val="0"/>
        </w:rPr>
        <w:t>重大議題如課程修訂案必須</w:t>
      </w:r>
      <w:r w:rsidR="00DF45A3" w:rsidRPr="000473E2">
        <w:rPr>
          <w:rFonts w:ascii="標楷體" w:eastAsia="標楷體" w:hAnsi="標楷體" w:cs="新細明體" w:hint="eastAsia"/>
          <w:color w:val="000000"/>
          <w:kern w:val="0"/>
        </w:rPr>
        <w:t>邀請校外學者專家</w:t>
      </w:r>
      <w:r w:rsidR="00DF45A3">
        <w:rPr>
          <w:rFonts w:ascii="標楷體" w:eastAsia="標楷體" w:hAnsi="標楷體" w:cs="新細明體" w:hint="eastAsia"/>
          <w:color w:val="000000"/>
          <w:kern w:val="0"/>
        </w:rPr>
        <w:t>、產業界及學生代表(含畢業生)</w:t>
      </w:r>
      <w:r w:rsidR="00DF45A3" w:rsidRPr="000473E2">
        <w:rPr>
          <w:rFonts w:ascii="標楷體" w:eastAsia="標楷體" w:hAnsi="標楷體" w:cs="新細明體" w:hint="eastAsia"/>
          <w:color w:val="000000"/>
          <w:kern w:val="0"/>
        </w:rPr>
        <w:t>列席。</w:t>
      </w:r>
      <w:r w:rsidR="002B02B6" w:rsidRPr="000473E2">
        <w:rPr>
          <w:rFonts w:ascii="標楷體" w:eastAsia="標楷體" w:hAnsi="標楷體" w:cs="新細明體" w:hint="eastAsia"/>
          <w:color w:val="000000"/>
          <w:kern w:val="0"/>
        </w:rPr>
        <w:t>如人數不足</w:t>
      </w:r>
      <w:r w:rsidR="00DF45A3">
        <w:rPr>
          <w:rFonts w:ascii="標楷體" w:eastAsia="標楷體" w:hAnsi="標楷體" w:cs="新細明體" w:hint="eastAsia"/>
          <w:color w:val="000000"/>
          <w:kern w:val="0"/>
        </w:rPr>
        <w:t>四</w:t>
      </w:r>
      <w:r w:rsidR="00F12A30" w:rsidRPr="000473E2">
        <w:rPr>
          <w:rFonts w:ascii="標楷體" w:eastAsia="標楷體" w:hAnsi="標楷體" w:cs="新細明體" w:hint="eastAsia"/>
          <w:color w:val="000000"/>
          <w:kern w:val="0"/>
        </w:rPr>
        <w:t>人</w:t>
      </w:r>
      <w:r w:rsidR="002B02B6" w:rsidRPr="000473E2">
        <w:rPr>
          <w:rFonts w:ascii="標楷體" w:eastAsia="標楷體" w:hAnsi="標楷體" w:cs="新細明體" w:hint="eastAsia"/>
          <w:color w:val="000000"/>
          <w:kern w:val="0"/>
        </w:rPr>
        <w:t>時，由所務會議就本</w:t>
      </w:r>
      <w:r w:rsidR="00F12A30" w:rsidRPr="000473E2">
        <w:rPr>
          <w:rFonts w:ascii="標楷體" w:eastAsia="標楷體" w:hAnsi="標楷體" w:cs="新細明體" w:hint="eastAsia"/>
          <w:color w:val="000000"/>
          <w:kern w:val="0"/>
        </w:rPr>
        <w:t>校</w:t>
      </w:r>
      <w:r w:rsidR="0098184E" w:rsidRPr="000473E2">
        <w:rPr>
          <w:rFonts w:ascii="標楷體" w:eastAsia="標楷體" w:hAnsi="標楷體" w:cs="新細明體" w:hint="eastAsia"/>
          <w:color w:val="000000"/>
          <w:kern w:val="0"/>
        </w:rPr>
        <w:t>具</w:t>
      </w:r>
      <w:r w:rsidR="00F12A30" w:rsidRPr="000473E2">
        <w:rPr>
          <w:rFonts w:ascii="標楷體" w:eastAsia="標楷體" w:hAnsi="標楷體" w:cs="新細明體" w:hint="eastAsia"/>
          <w:color w:val="000000"/>
          <w:kern w:val="0"/>
        </w:rPr>
        <w:t>助理教授資格以上</w:t>
      </w:r>
      <w:r w:rsidR="0098184E" w:rsidRPr="000473E2">
        <w:rPr>
          <w:rFonts w:ascii="標楷體" w:eastAsia="標楷體" w:hAnsi="標楷體" w:cs="新細明體" w:hint="eastAsia"/>
          <w:color w:val="000000"/>
          <w:kern w:val="0"/>
        </w:rPr>
        <w:t>教師</w:t>
      </w:r>
      <w:r w:rsidR="00F12A30" w:rsidRPr="000473E2">
        <w:rPr>
          <w:rFonts w:ascii="標楷體" w:eastAsia="標楷體" w:hAnsi="標楷體" w:cs="新細明體" w:hint="eastAsia"/>
          <w:color w:val="000000"/>
          <w:kern w:val="0"/>
        </w:rPr>
        <w:t>選出若干名選任委員補足之</w:t>
      </w:r>
      <w:r w:rsidR="002B02B6" w:rsidRPr="000473E2">
        <w:rPr>
          <w:rFonts w:ascii="標楷體" w:eastAsia="標楷體" w:hAnsi="標楷體" w:cs="新細明體" w:hint="eastAsia"/>
          <w:color w:val="000000"/>
          <w:kern w:val="0"/>
        </w:rPr>
        <w:t>。惟必須得到其單位主管同意。</w:t>
      </w:r>
    </w:p>
    <w:p w:rsidR="002B02B6" w:rsidRPr="000473E2" w:rsidRDefault="004310B4" w:rsidP="004310B4">
      <w:pPr>
        <w:widowControl/>
        <w:tabs>
          <w:tab w:val="left" w:pos="567"/>
        </w:tabs>
        <w:spacing w:beforeLines="50" w:before="180" w:afterLines="50" w:after="180" w:line="280" w:lineRule="exact"/>
        <w:ind w:left="607" w:hangingChars="253" w:hanging="607"/>
        <w:rPr>
          <w:rFonts w:ascii="標楷體" w:eastAsia="標楷體" w:hAnsi="標楷體" w:cs="新細明體"/>
          <w:color w:val="000000"/>
          <w:kern w:val="0"/>
        </w:rPr>
      </w:pPr>
      <w:r w:rsidRPr="000473E2">
        <w:rPr>
          <w:rFonts w:ascii="標楷體" w:eastAsia="標楷體" w:hAnsi="標楷體" w:cs="新細明體" w:hint="eastAsia"/>
          <w:color w:val="000000"/>
          <w:kern w:val="0"/>
        </w:rPr>
        <w:t>四、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0473E2">
        <w:rPr>
          <w:rFonts w:ascii="標楷體" w:eastAsia="標楷體" w:hAnsi="標楷體" w:cs="新細明體" w:hint="eastAsia"/>
          <w:color w:val="000000"/>
          <w:kern w:val="0"/>
        </w:rPr>
        <w:t>本委員會</w:t>
      </w:r>
      <w:r w:rsidR="0098184E" w:rsidRPr="000473E2">
        <w:rPr>
          <w:rFonts w:ascii="標楷體" w:eastAsia="標楷體" w:hAnsi="標楷體" w:cs="新細明體" w:hint="eastAsia"/>
          <w:color w:val="000000"/>
          <w:kern w:val="0"/>
        </w:rPr>
        <w:t>任期一年，連選得連任。</w:t>
      </w:r>
      <w:r w:rsidRPr="000473E2">
        <w:rPr>
          <w:rFonts w:ascii="標楷體" w:eastAsia="標楷體" w:hAnsi="標楷體" w:cs="新細明體" w:hint="eastAsia"/>
          <w:color w:val="000000"/>
          <w:kern w:val="0"/>
        </w:rPr>
        <w:t>當然委員及選任委員均為無給職</w:t>
      </w:r>
      <w:r w:rsidR="0098184E" w:rsidRPr="000473E2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854E7D" w:rsidRPr="000473E2" w:rsidRDefault="004310B4" w:rsidP="002B21DB">
      <w:pPr>
        <w:widowControl/>
        <w:tabs>
          <w:tab w:val="left" w:pos="567"/>
        </w:tabs>
        <w:spacing w:beforeLines="50" w:before="180" w:afterLines="50" w:after="180" w:line="280" w:lineRule="exact"/>
        <w:ind w:left="607" w:hangingChars="253" w:hanging="607"/>
        <w:rPr>
          <w:rFonts w:ascii="新細明體" w:hAnsi="新細明體" w:cs="新細明體"/>
          <w:kern w:val="0"/>
        </w:rPr>
      </w:pPr>
      <w:r w:rsidRPr="000473E2">
        <w:rPr>
          <w:rFonts w:ascii="標楷體" w:eastAsia="標楷體" w:hAnsi="標楷體" w:cs="新細明體" w:hint="eastAsia"/>
          <w:color w:val="000000"/>
          <w:kern w:val="0"/>
        </w:rPr>
        <w:t>五、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本委員會置召集人一人，由</w:t>
      </w:r>
      <w:r w:rsidR="002B02B6" w:rsidRPr="000473E2">
        <w:rPr>
          <w:rFonts w:ascii="標楷體" w:eastAsia="標楷體" w:hAnsi="標楷體" w:cs="新細明體" w:hint="eastAsia"/>
          <w:color w:val="000000"/>
          <w:kern w:val="0"/>
        </w:rPr>
        <w:t>所長</w:t>
      </w:r>
      <w:r w:rsidR="00482F7F" w:rsidRPr="000473E2">
        <w:rPr>
          <w:rFonts w:ascii="標楷體" w:eastAsia="標楷體" w:hAnsi="標楷體" w:cs="新細明體" w:hint="eastAsia"/>
          <w:color w:val="000000"/>
          <w:kern w:val="0"/>
        </w:rPr>
        <w:t>兼任之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854E7D" w:rsidRPr="000473E2" w:rsidRDefault="004310B4" w:rsidP="002B21DB">
      <w:pPr>
        <w:widowControl/>
        <w:tabs>
          <w:tab w:val="left" w:pos="567"/>
        </w:tabs>
        <w:spacing w:beforeLines="50" w:before="180" w:afterLines="50" w:after="180" w:line="280" w:lineRule="exact"/>
        <w:ind w:left="607" w:hangingChars="253" w:hanging="607"/>
        <w:rPr>
          <w:rFonts w:ascii="新細明體" w:hAnsi="新細明體" w:cs="新細明體"/>
          <w:kern w:val="0"/>
        </w:rPr>
      </w:pPr>
      <w:r w:rsidRPr="000473E2">
        <w:rPr>
          <w:rFonts w:ascii="標楷體" w:eastAsia="標楷體" w:hAnsi="標楷體" w:cs="新細明體" w:hint="eastAsia"/>
          <w:color w:val="000000"/>
          <w:kern w:val="0"/>
        </w:rPr>
        <w:t>六、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482F7F" w:rsidRPr="000473E2">
        <w:rPr>
          <w:rFonts w:ascii="標楷體" w:eastAsia="標楷體" w:hAnsi="標楷體" w:cs="新細明體" w:hint="eastAsia"/>
          <w:color w:val="000000"/>
          <w:kern w:val="0"/>
        </w:rPr>
        <w:t>本委員會每學期以集會兩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次為原則，由召集人擔任主席，必要時得臨時召集之。</w:t>
      </w:r>
    </w:p>
    <w:p w:rsidR="00854E7D" w:rsidRPr="000473E2" w:rsidRDefault="004310B4" w:rsidP="002B21DB">
      <w:pPr>
        <w:widowControl/>
        <w:tabs>
          <w:tab w:val="left" w:pos="567"/>
        </w:tabs>
        <w:spacing w:beforeLines="50" w:before="180" w:afterLines="50" w:after="180" w:line="280" w:lineRule="exact"/>
        <w:ind w:left="607" w:hangingChars="253" w:hanging="607"/>
        <w:rPr>
          <w:rFonts w:ascii="新細明體" w:hAnsi="新細明體" w:cs="新細明體"/>
          <w:kern w:val="0"/>
        </w:rPr>
      </w:pPr>
      <w:r w:rsidRPr="000473E2">
        <w:rPr>
          <w:rFonts w:ascii="標楷體" w:eastAsia="標楷體" w:hAnsi="標楷體" w:cs="新細明體" w:hint="eastAsia"/>
          <w:color w:val="000000"/>
          <w:kern w:val="0"/>
        </w:rPr>
        <w:t>七、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本委員會之重大決議事項，須提經</w:t>
      </w:r>
      <w:r w:rsidR="00E34621" w:rsidRPr="000473E2">
        <w:rPr>
          <w:rFonts w:ascii="標楷體" w:eastAsia="標楷體" w:hAnsi="標楷體" w:cs="新細明體" w:hint="eastAsia"/>
          <w:color w:val="000000"/>
          <w:kern w:val="0"/>
        </w:rPr>
        <w:t>所</w:t>
      </w:r>
      <w:r w:rsidR="00854E7D" w:rsidRPr="000473E2">
        <w:rPr>
          <w:rFonts w:ascii="標楷體" w:eastAsia="標楷體" w:hAnsi="標楷體" w:cs="新細明體" w:hint="eastAsia"/>
          <w:color w:val="000000"/>
          <w:kern w:val="0"/>
        </w:rPr>
        <w:t>務會議審議。</w:t>
      </w:r>
    </w:p>
    <w:p w:rsidR="00854E7D" w:rsidRPr="000473E2" w:rsidRDefault="004310B4" w:rsidP="002B21DB">
      <w:pPr>
        <w:widowControl/>
        <w:tabs>
          <w:tab w:val="left" w:pos="567"/>
        </w:tabs>
        <w:spacing w:beforeLines="50" w:before="180" w:afterLines="50" w:after="180" w:line="280" w:lineRule="exact"/>
        <w:ind w:left="607" w:hangingChars="253" w:hanging="607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八、</w:t>
      </w:r>
      <w:r w:rsidR="00A363EC" w:rsidRPr="00390D58">
        <w:rPr>
          <w:rFonts w:ascii="標楷體" w:eastAsia="標楷體" w:hAnsi="標楷體" w:cs="新細明體" w:hint="eastAsia"/>
          <w:color w:val="000000"/>
          <w:kern w:val="0"/>
        </w:rPr>
        <w:t>本要點經所務會議、院務會議</w:t>
      </w:r>
      <w:r w:rsidR="00D53F49">
        <w:rPr>
          <w:rFonts w:ascii="標楷體" w:eastAsia="標楷體" w:hAnsi="標楷體" w:cs="新細明體" w:hint="eastAsia"/>
          <w:color w:val="000000"/>
          <w:kern w:val="0"/>
        </w:rPr>
        <w:t>審議，</w:t>
      </w:r>
      <w:r w:rsidR="006F2416">
        <w:rPr>
          <w:rFonts w:ascii="標楷體" w:eastAsia="標楷體" w:hAnsi="標楷體" w:cs="新細明體" w:hint="eastAsia"/>
          <w:color w:val="000000"/>
          <w:kern w:val="0"/>
        </w:rPr>
        <w:t>並</w:t>
      </w:r>
      <w:r w:rsidR="00D53F49">
        <w:rPr>
          <w:rFonts w:ascii="標楷體" w:eastAsia="標楷體" w:hAnsi="標楷體" w:cs="新細明體" w:hint="eastAsia"/>
          <w:color w:val="000000"/>
          <w:kern w:val="0"/>
        </w:rPr>
        <w:t>提送校級課程委員會議備查</w:t>
      </w:r>
      <w:r w:rsidR="00A363EC" w:rsidRPr="00390D58">
        <w:rPr>
          <w:rFonts w:ascii="標楷體" w:eastAsia="標楷體" w:hAnsi="標楷體" w:cs="新細明體" w:hint="eastAsia"/>
          <w:color w:val="000000"/>
          <w:kern w:val="0"/>
        </w:rPr>
        <w:t>，修正時亦同</w:t>
      </w:r>
      <w:r w:rsidR="00A363EC">
        <w:rPr>
          <w:rFonts w:ascii="標楷體" w:eastAsia="標楷體" w:hAnsi="標楷體" w:cs="新細明體" w:hint="eastAsia"/>
          <w:color w:val="000000"/>
          <w:kern w:val="0"/>
        </w:rPr>
        <w:t>。</w:t>
      </w:r>
    </w:p>
    <w:sectPr w:rsidR="00854E7D" w:rsidRPr="000473E2" w:rsidSect="007E21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EB" w:rsidRDefault="00D33DEB" w:rsidP="00A9360C">
      <w:r>
        <w:separator/>
      </w:r>
    </w:p>
  </w:endnote>
  <w:endnote w:type="continuationSeparator" w:id="0">
    <w:p w:rsidR="00D33DEB" w:rsidRDefault="00D33DEB" w:rsidP="00A9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EB" w:rsidRDefault="00D33DEB" w:rsidP="00A9360C">
      <w:r>
        <w:separator/>
      </w:r>
    </w:p>
  </w:footnote>
  <w:footnote w:type="continuationSeparator" w:id="0">
    <w:p w:rsidR="00D33DEB" w:rsidRDefault="00D33DEB" w:rsidP="00A9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7D"/>
    <w:rsid w:val="000171F7"/>
    <w:rsid w:val="00041EA9"/>
    <w:rsid w:val="000473E2"/>
    <w:rsid w:val="00052C2A"/>
    <w:rsid w:val="0005569D"/>
    <w:rsid w:val="00096FC7"/>
    <w:rsid w:val="000F0F32"/>
    <w:rsid w:val="001360A9"/>
    <w:rsid w:val="0014253A"/>
    <w:rsid w:val="00164BB0"/>
    <w:rsid w:val="001749E7"/>
    <w:rsid w:val="001C7F04"/>
    <w:rsid w:val="001F6343"/>
    <w:rsid w:val="00204F45"/>
    <w:rsid w:val="002362CF"/>
    <w:rsid w:val="002A2314"/>
    <w:rsid w:val="002B02B6"/>
    <w:rsid w:val="002B21DB"/>
    <w:rsid w:val="002B4509"/>
    <w:rsid w:val="003030E1"/>
    <w:rsid w:val="003131D3"/>
    <w:rsid w:val="00333B46"/>
    <w:rsid w:val="00336E24"/>
    <w:rsid w:val="00372FFC"/>
    <w:rsid w:val="00377180"/>
    <w:rsid w:val="00380C52"/>
    <w:rsid w:val="00393B74"/>
    <w:rsid w:val="003C7232"/>
    <w:rsid w:val="0040484C"/>
    <w:rsid w:val="00411C3D"/>
    <w:rsid w:val="004310B4"/>
    <w:rsid w:val="00460FDA"/>
    <w:rsid w:val="00461339"/>
    <w:rsid w:val="00482F7F"/>
    <w:rsid w:val="004832E2"/>
    <w:rsid w:val="00483C9A"/>
    <w:rsid w:val="004B6D2B"/>
    <w:rsid w:val="004B7BBE"/>
    <w:rsid w:val="00510CBC"/>
    <w:rsid w:val="0051232D"/>
    <w:rsid w:val="00546A6E"/>
    <w:rsid w:val="005527F1"/>
    <w:rsid w:val="00566D7B"/>
    <w:rsid w:val="005E151A"/>
    <w:rsid w:val="005F7730"/>
    <w:rsid w:val="00634AAF"/>
    <w:rsid w:val="00667E52"/>
    <w:rsid w:val="00677102"/>
    <w:rsid w:val="00680A2D"/>
    <w:rsid w:val="006A2BD3"/>
    <w:rsid w:val="006A3D4B"/>
    <w:rsid w:val="006A78B1"/>
    <w:rsid w:val="006B714E"/>
    <w:rsid w:val="006C3EAC"/>
    <w:rsid w:val="006D3170"/>
    <w:rsid w:val="006E5768"/>
    <w:rsid w:val="006F2416"/>
    <w:rsid w:val="006F75E3"/>
    <w:rsid w:val="00710028"/>
    <w:rsid w:val="00714165"/>
    <w:rsid w:val="00732613"/>
    <w:rsid w:val="00732C72"/>
    <w:rsid w:val="00740326"/>
    <w:rsid w:val="00742590"/>
    <w:rsid w:val="0077196B"/>
    <w:rsid w:val="007C6B8F"/>
    <w:rsid w:val="007E2167"/>
    <w:rsid w:val="007E248D"/>
    <w:rsid w:val="00811C88"/>
    <w:rsid w:val="0085191B"/>
    <w:rsid w:val="00854E7D"/>
    <w:rsid w:val="008649C8"/>
    <w:rsid w:val="008757A8"/>
    <w:rsid w:val="008945B2"/>
    <w:rsid w:val="008A7FFC"/>
    <w:rsid w:val="008C41AC"/>
    <w:rsid w:val="008C4B02"/>
    <w:rsid w:val="008E3A06"/>
    <w:rsid w:val="008F19B5"/>
    <w:rsid w:val="00914C04"/>
    <w:rsid w:val="00916763"/>
    <w:rsid w:val="009339F2"/>
    <w:rsid w:val="009374BA"/>
    <w:rsid w:val="00950100"/>
    <w:rsid w:val="009572F1"/>
    <w:rsid w:val="00961F11"/>
    <w:rsid w:val="00980D2D"/>
    <w:rsid w:val="0098184E"/>
    <w:rsid w:val="009A0E0D"/>
    <w:rsid w:val="009B05CB"/>
    <w:rsid w:val="009F0BCC"/>
    <w:rsid w:val="00A27B74"/>
    <w:rsid w:val="00A3339D"/>
    <w:rsid w:val="00A363EC"/>
    <w:rsid w:val="00A41DAF"/>
    <w:rsid w:val="00A42918"/>
    <w:rsid w:val="00A42B44"/>
    <w:rsid w:val="00A52A68"/>
    <w:rsid w:val="00A7379E"/>
    <w:rsid w:val="00A9360C"/>
    <w:rsid w:val="00AC3FEA"/>
    <w:rsid w:val="00AC5163"/>
    <w:rsid w:val="00AF7F70"/>
    <w:rsid w:val="00B14C8E"/>
    <w:rsid w:val="00B16D54"/>
    <w:rsid w:val="00B16DB5"/>
    <w:rsid w:val="00B712CC"/>
    <w:rsid w:val="00BA1426"/>
    <w:rsid w:val="00BB1547"/>
    <w:rsid w:val="00BB56DB"/>
    <w:rsid w:val="00BB5E97"/>
    <w:rsid w:val="00BC5312"/>
    <w:rsid w:val="00C349AB"/>
    <w:rsid w:val="00C8298F"/>
    <w:rsid w:val="00CA6F3A"/>
    <w:rsid w:val="00CB03B6"/>
    <w:rsid w:val="00D059CB"/>
    <w:rsid w:val="00D167DE"/>
    <w:rsid w:val="00D33DEB"/>
    <w:rsid w:val="00D53F49"/>
    <w:rsid w:val="00D83B53"/>
    <w:rsid w:val="00DA4367"/>
    <w:rsid w:val="00DA5D50"/>
    <w:rsid w:val="00DC4AB9"/>
    <w:rsid w:val="00DF45A3"/>
    <w:rsid w:val="00E34621"/>
    <w:rsid w:val="00E43D40"/>
    <w:rsid w:val="00E87672"/>
    <w:rsid w:val="00E90A8E"/>
    <w:rsid w:val="00EB4ED1"/>
    <w:rsid w:val="00EE31AE"/>
    <w:rsid w:val="00F05969"/>
    <w:rsid w:val="00F12A30"/>
    <w:rsid w:val="00F37CED"/>
    <w:rsid w:val="00F4475E"/>
    <w:rsid w:val="00F51737"/>
    <w:rsid w:val="00F91E8C"/>
    <w:rsid w:val="00FC5A8B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7EBD35-88F9-4B12-9196-C36915D0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12CC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9374BA"/>
    <w:pPr>
      <w:jc w:val="right"/>
    </w:pPr>
  </w:style>
  <w:style w:type="paragraph" w:styleId="a5">
    <w:name w:val="header"/>
    <w:basedOn w:val="a"/>
    <w:link w:val="a6"/>
    <w:rsid w:val="00A93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9360C"/>
    <w:rPr>
      <w:kern w:val="2"/>
    </w:rPr>
  </w:style>
  <w:style w:type="paragraph" w:styleId="a7">
    <w:name w:val="footer"/>
    <w:basedOn w:val="a"/>
    <w:link w:val="a8"/>
    <w:rsid w:val="00A93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9360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國立臺灣藝術大學表演藝術學院</dc:title>
  <dc:subject/>
  <dc:creator>hbs694</dc:creator>
  <cp:keywords/>
  <dc:description/>
  <cp:lastModifiedBy>張文采</cp:lastModifiedBy>
  <cp:revision>6</cp:revision>
  <cp:lastPrinted>2008-04-22T01:28:00Z</cp:lastPrinted>
  <dcterms:created xsi:type="dcterms:W3CDTF">2019-01-09T08:50:00Z</dcterms:created>
  <dcterms:modified xsi:type="dcterms:W3CDTF">2019-01-11T07:58:00Z</dcterms:modified>
</cp:coreProperties>
</file>